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81" w:rsidRPr="00650E81" w:rsidRDefault="00650E81" w:rsidP="00650E81">
      <w:pPr>
        <w:spacing w:after="0" w:line="276" w:lineRule="atLeast"/>
        <w:textAlignment w:val="baseline"/>
        <w:outlineLvl w:val="2"/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hr-HR"/>
        </w:rPr>
      </w:pPr>
      <w:r w:rsidRPr="00650E81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hr-HR"/>
        </w:rPr>
        <w:t>NN 14/2020 (5.2.2020.), Pravilnik o godišnjem paušalnom iznosu članarine za osobe koje pružaju ugostiteljske usluge u domaćinstvu i na obiteljskom poljoprivrednom gospodarstvu i o obrascima TZ za plaćanje članarine turističkoj zajednici</w:t>
      </w:r>
    </w:p>
    <w:p w:rsidR="00650E81" w:rsidRPr="00650E81" w:rsidRDefault="00650E81" w:rsidP="00650E81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9"/>
          <w:szCs w:val="29"/>
          <w:lang w:eastAsia="hr-HR"/>
        </w:rPr>
      </w:pPr>
      <w:r w:rsidRPr="00650E81">
        <w:rPr>
          <w:rFonts w:ascii="Times New Roman" w:eastAsia="Times New Roman" w:hAnsi="Times New Roman" w:cs="Times New Roman"/>
          <w:b/>
          <w:bCs/>
          <w:caps/>
          <w:color w:val="231F20"/>
          <w:sz w:val="29"/>
          <w:szCs w:val="29"/>
          <w:lang w:eastAsia="hr-HR"/>
        </w:rPr>
        <w:t>MINISTARSTVO TURIZMA</w:t>
      </w:r>
    </w:p>
    <w:p w:rsidR="00650E81" w:rsidRPr="00650E81" w:rsidRDefault="00650E81" w:rsidP="00650E81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  <w:lang w:eastAsia="hr-HR"/>
        </w:rPr>
      </w:pPr>
      <w:r w:rsidRPr="00650E81"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  <w:lang w:eastAsia="hr-HR"/>
        </w:rPr>
        <w:t>251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 temelju članka 11. stavka 6. i članka 13. stavka 3. i 4. Zakona o članarinama u turističkim zajednicama (»Narodne novine«, broj 52/19.), ministar turizma, uz prethodnu suglasnost ministra financija donosi</w:t>
      </w:r>
    </w:p>
    <w:p w:rsidR="00650E81" w:rsidRPr="00650E81" w:rsidRDefault="00650E81" w:rsidP="00650E81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650E81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PRAVILNIK</w:t>
      </w:r>
    </w:p>
    <w:p w:rsidR="00650E81" w:rsidRPr="00650E81" w:rsidRDefault="00650E81" w:rsidP="00650E81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  <w:lang w:eastAsia="hr-HR"/>
        </w:rPr>
      </w:pPr>
      <w:r w:rsidRPr="00650E81"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  <w:lang w:eastAsia="hr-HR"/>
        </w:rPr>
        <w:t>O GODIŠNJEM PAUŠALNOM IZNOSU ČLANARINE ZA OSOBE KOJE PRUŽAJU UGOSTITELJSKE USLUGE U DOMAĆINSTVU I NA OBITELJSKOM POLJOPRIVREDNOM GOSPODARSTVU I O OBRASCIMA TZ ZA PLAĆANJE ČLANARINE TURISTIČKOJ ZAJEDNICI</w:t>
      </w:r>
    </w:p>
    <w:p w:rsidR="00650E81" w:rsidRPr="00650E81" w:rsidRDefault="00650E81" w:rsidP="00650E8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I. OPĆE ODREDBE</w:t>
      </w:r>
    </w:p>
    <w:p w:rsidR="00650E81" w:rsidRPr="00650E81" w:rsidRDefault="00650E81" w:rsidP="00650E8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1.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(1) Ovim Pravilnikom propisuje se iznos članarine za svaki krevet u sobi, apartmanu i kući za odmor, za svaku smještajnu jedinicu u kampu i kamp-odmorištu te za objekte za robinzonski smještaj koji plaćaju fizičke osobe koje pružaju ugostiteljske usluge u domaćinstvu ili na obiteljskom poljoprivrednom gospodarstvu, oblik i sadržaj Obrasca TZ koji podnose pravne i fizičke osobe koje obavljaju gospodarsku djelatnost, oblik i sadržaj Obrasca TZ koji podnose osobe koje pružaju ugostiteljske usluge u domaćinstvu ili na obiteljskom poljoprivrednom gospodarstvu, te način dostave podataka o osnovici za obračun članarine.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(2) Obveznici plaćanja članarine koji pružaju usluge smještaja određuju se sukladno propisima kojima se uređuje ugostiteljska djelatnost.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(3) Na turističke zajednice mjesta primjenjuju se odredbe ovoga Pravilnika koje se odnose na lokalne turističke zajednice.</w:t>
      </w:r>
    </w:p>
    <w:p w:rsidR="00650E81" w:rsidRPr="00650E81" w:rsidRDefault="00650E81" w:rsidP="00650E8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II. PLAĆANJE ČLANARINE NA POTPOMOGNUTIM PODRUČJIMA</w:t>
      </w:r>
    </w:p>
    <w:p w:rsidR="00650E81" w:rsidRPr="00650E81" w:rsidRDefault="00650E81" w:rsidP="00650E8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2.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Pravne i fizičke osobe koje obavljaju gospodarsku djelatnost i osobe koje pružaju ugostiteljske usluge u domaćinstvu ili na obiteljskom poljoprivrednom gospodarstvu na područjima općina i gradova koja se smatraju potpomognutim područjima (I. – IV. razvojna skupina jedinice lokalne samouprave) sukladno odluci kojom se uređuje razvrstavanje jedinica lokalne samouprave prema stupnju razvijenosti, plaćaju članarinu umanjenu za 20 %.</w:t>
      </w:r>
    </w:p>
    <w:p w:rsidR="00650E81" w:rsidRPr="00650E81" w:rsidRDefault="00650E81" w:rsidP="00650E8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III. OBRAZAC TZ KOJI PODNOSE PRAVNE I FIZIČKE OSOBE KOJE OBAVLJAJU GOSPODARSKU DJELATNOST</w:t>
      </w:r>
    </w:p>
    <w:p w:rsidR="00650E81" w:rsidRPr="00650E81" w:rsidRDefault="00650E81" w:rsidP="00650E8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3.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(1) Pravne i fizičke osobe koje obavljaju gospodarsku djelatnost dostavljaju nadležnoj Poreznoj upravi podatke o osnovici za obračun članarine na Obrascu TZ 1 koji je sastavni dio ovog Pravilnika ili putem sustava </w:t>
      </w:r>
      <w:proofErr w:type="spellStart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ePorezna</w:t>
      </w:r>
      <w:proofErr w:type="spellEnd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, s time da se u prilogu zbirnog obrasca na razini obveznika dostavlja razrada po poslovnim jedinicama odnosno djelatnostima.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(2) Pravna osoba i fizička osoba obrtnik plaća mjesečni predujam članarine sukladno članku 10. stavku 2. Zakona u svoti koja se dobije kada se obračunana svota članarine za prethodno porezno razdoblje podijeli s brojem mjeseci istoga razdoblja.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(3) Ako se obračun sastavlja za cijelu godinu, mjesečni predujam članarine za naredno razdoblje utvrđuje se u visini jedne dvanaestine obračunatog iznosa.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(4) Ovisno o osnivanju turističke zajednice odnosno početku obavljanja djelatnosti obvezatnog člana turističke zajednice tijekom godine, mjesečni predujam za naredno razdoblje utvrđuje se, tako da se obračunani iznos dijeli s odgovarajućim brojem mjeseci razdoblja za koje se sastavlja konačni obračun.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(5) Osobe iz stavka 1. ovoga članka ukupni godišnji predujam članarine mogu platiti jednokratno, u roku za plaćanje predujma za mjesec u kojem je predan Obrazac TZ 1 odnosno najkasnije do kraja veljače tekuće godine (obveznici poreza na dohodak) ili do kraja travnja tekuće godine (obveznici poreza na dobit).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(6) Konačni obračun članarine za osobe iz stavka 1. ovoga članka obavlja se u rokovima i na način propisan za obračun i naplatu poreza na dobit odnosno poreza na dohodak.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(7) Ako osoba iz stavka 1. ovoga članka u vidu predujma plati više članarine nego što je dužna po konačnom obračunu, preplaćeni dio vraća joj se na njezin zahtjev ili se uračunava u sljedeće razdoblje plaćanja članarine.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(8) Ako osoba iz stavka 1. ovoga članka ne uplati članarinu u Zakonom o članarinama u turističkim zajednicama (»Narodne novine«, br. 52/19. – u daljnjem tekstu: Zakon) utvrđenom iznosu i roku, postupit će se sukladno propisu kojim se uređuje postupak prisilne naplate poreza.</w:t>
      </w:r>
    </w:p>
    <w:p w:rsidR="00650E81" w:rsidRPr="00650E81" w:rsidRDefault="00650E81" w:rsidP="00650E8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4.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(1) Visina članarine koju plaćaju pravne i fizičke osobe koje obavljaju gospodarsku djelatnost ovisi o skupini u koju je razvrstana djelatnost kojom se pravna ili fizička osoba bavi te o pripadajućoj stopi za obračun i plaćanje članarine propisane Zakonom.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(2) Pravna i fizička osoba iz stavka 1. ovoga članka može članarinu platiti i primjenom stope propisane za djelatnost koju pravna ili fizička osoba obavlja pretežito u odnosu na ostale djelatnosti za koje je upisana u registar trgovačkog suda, obrtni registar ili drugi odgovarajući registar, na ukupno ostvareni prihod ili primitak, ako je za nju to povoljnije.</w:t>
      </w:r>
    </w:p>
    <w:p w:rsidR="00650E81" w:rsidRPr="00650E81" w:rsidRDefault="00650E81" w:rsidP="00650E8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IV. DOSTAVA PODATAKA O OSNOVICI ZA OBRAČUN ČLANARINE</w:t>
      </w:r>
    </w:p>
    <w:p w:rsidR="00650E81" w:rsidRPr="00650E81" w:rsidRDefault="00650E81" w:rsidP="00650E8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5.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lastRenderedPageBreak/>
        <w:t xml:space="preserve">(1) Pravne i fizičke osobe koje obavljaju gospodarsku djelatnost dostavljaju nadležnoj ispostavi Porezne uprave prema sjedištu pravne osobe odnosno prebivalištu ili uobičajenom boravištu fizičke osobe zbirni podatak o osnovici za obračun članarine, objedinjeno za sjedište pravne osobe odnosno prebivalište fizičke osobe kao i za poslovne jedinice (podružnice, pogone, objekte u kojima se pružaju usluge i </w:t>
      </w:r>
      <w:proofErr w:type="spellStart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sl</w:t>
      </w:r>
      <w:proofErr w:type="spellEnd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.).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(2) Podatak iz stavka 1. ovoga članka dostavlja se nadležnoj ispostavi Porezne uprave na Obrascu TZ 1 koji je sastavni dio ovoga Pravilnika ili putem sustava </w:t>
      </w:r>
      <w:proofErr w:type="spellStart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ePorezna</w:t>
      </w:r>
      <w:proofErr w:type="spellEnd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, s time da se u prilogu zbirnog obrasca na razini obveznika dostavlja razrada po poslovnim jedinicama odnosno djelatnostima.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(3) Osnovicu za obračun članarine za pravne i fizičke osobe koje su obveznici plaćanja poreza na dobit čine svi prihodi koje te osobe ostvaruju pružanjem ugostiteljskih usluga, usluga u turizmu ili obavljanjem s turizmom neposredno povezanih djelatnosti u poslovnim jedinicama koje posluju na području lokalne turističke zajednice.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(4) Osnovicu za obračun članarine za fizičke osobe koje su obveznici plaćanja poreza na dohodak čine svi primici koje te osobe ostvaruju pružanjem ugostiteljskih usluga, usluga u turizmu ili obavljanjem s turizmom neposredno povezanih djelatnosti u poslovnim jedinicama koje posluju na području lokalne turističke zajednice.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(5) Iznimno od stavka 3. ovoga članka, za obveznike poreza na dobit koji poreznu osnovicu utvrđuju u paušalnom iznosu, osnovicu za obračun članarine čine ukupni prihodi od obavljanja gospodarske djelatnosti po osnovi koje je obveznik poreza na dobit.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(6) Iznimno od stavka 4. ovoga članka, za obveznike poreza na dohodak od samostalne djelatnosti koji poreznu osnovicu utvrđuju u paušalnom iznosu, osnovicu za obračun članarine čine ukupno ostvareni naplaćeni primici.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(7) Za svaku poslovnu jedinicu izvan sjedišta pravne i fizičke osobe posebno se utvrđuje ukupni prihod odnosno ukupni primitak za osnovicu za obračun članarine.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(8) Pravnoj i fizičkoj osobi koja utvrđuje osnovicu za obračun članarine sukladno stavku 7. ovoga članka, osnovica za obračun članarine smanjuje se za dio njezinih prihoda ili primitaka ostvarenih u poslovnim jedinicama.</w:t>
      </w:r>
    </w:p>
    <w:p w:rsidR="00650E81" w:rsidRPr="00650E81" w:rsidRDefault="00650E81" w:rsidP="00650E8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V. UNOŠENJE PODATAKA U OBRAZAC TZ 1</w:t>
      </w:r>
    </w:p>
    <w:p w:rsidR="00650E81" w:rsidRPr="00650E81" w:rsidRDefault="00650E81" w:rsidP="00650E8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6.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U Obrazac TZ 1 unose se svi podaci koji se obrascem traže, a to su: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1. Područni ured i ispostava Porezne uprave nadležna prema sjedištu pravne osobe ili prebivalištu fizičke osobe.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2. Opći podaci o obvezniku plaćanja članarine: OIB, naziv pravne osobe/ime i prezime fizičke osobe, adresa sjedišta/prebivališta, šifra/naziv općine/grada sjedišta/prebivališta, te podaci za konačni obračun članarine i utvrđivanje predujma članarine za naredno razdoblje.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1.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Upisuje se osnovica propisana člankom 7. Zakona.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2.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Upisuje se stopa za obračun i plaćanje članarine propisana člankom 6. Zakona.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3.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Upisuje se obračunani iznos koji se dobije umnoškom osnovice iz rednog broja 1. i stope iz rednog broja 2.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4. – 7.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Upisuje se umanjenje članarine za 20% ako se radi o obavljanju djelatnosti na potpomognutom području.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Područja općina i gradova koja se smatraju potpomognutim područjima (I. – IV. razvojna skupina jedinice lokalne samouprave) određuju se sukladno Odluci Vlade Republike Hrvatske o razvrstavanju jedinica lokalne i područne (regionalne) samouprave prema stupnju razvijenosti.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8.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Upisuje se ukupno umanjenje na potpomognutim područjima ukoliko se usluge pružaju na području jedne ili više općina odnosno gradova koji se smatraju potpomognutim područjima.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9.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– Upisuje se obračunani iznos nakon umanjenja, </w:t>
      </w:r>
      <w:proofErr w:type="spellStart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tj</w:t>
      </w:r>
      <w:proofErr w:type="spellEnd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 od obračunanog iznosa (redni broj 3.) oduzme se ukupno umanjenje na potpomognutim područjima (redni broj 8.).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10.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Upisuje se iznos uplaćenog predujma članarine iz prethodnog obračunskog razdoblja.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11.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– Upisuje se razlika za uplatu, </w:t>
      </w:r>
      <w:proofErr w:type="spellStart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tj</w:t>
      </w:r>
      <w:proofErr w:type="spellEnd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 od obračunanog iznosa nakon umanjenja (redni broj 9.) oduzme se uplaćeni predujam (redni broj 10.).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12.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– Upisuje se razlika za povrat, </w:t>
      </w:r>
      <w:proofErr w:type="spellStart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tj</w:t>
      </w:r>
      <w:proofErr w:type="spellEnd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 od uplaćenog predujma (redni broj 10.) oduzme se obračunani iznos nakon umanjenja (redni broj 9.).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13.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– Upisuje se mjesečni predujam članarine za naredno razdoblje sukladno članku 10. stavku 1. Zakona, </w:t>
      </w:r>
      <w:proofErr w:type="spellStart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tj</w:t>
      </w:r>
      <w:proofErr w:type="spellEnd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 obračunani iznos nakon umanjenja (redni broj 9.) podijeli se s brojem mjeseci.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14.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Upisuje se iznos jednokratne uplate sukladno članku 10. stavku 3. Zakona, koji se dobije na način da se mjesečni predujam za naredno razdoblje (redni broj 13.) pomnoži s 12 mjeseci.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Ukoliko obveznik članarinu plaća jednokratno, zaokružuje DA.</w:t>
      </w:r>
    </w:p>
    <w:p w:rsidR="00650E81" w:rsidRPr="00650E81" w:rsidRDefault="00650E81" w:rsidP="00650E8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VI. VISINA GODIŠNJEG PAUŠALNOG IZNOSA ČLANARINE KOJU PLAĆAJU OSOBE KOJE PRUŽAJU UGOSTITELJSKE USLUGE U DOMAĆINSTVU ILI NA OBITELJSKOM POLJOPRIVREDNOM GOSPODARSTVU</w:t>
      </w:r>
    </w:p>
    <w:p w:rsidR="00650E81" w:rsidRPr="00650E81" w:rsidRDefault="00650E81" w:rsidP="00650E8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7.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(1) Visina godišnjeg paušalnog iznosa članarine koju plaća osoba koja pruža ugostiteljske usluge u domaćinstvu ili na obiteljskom poljoprivrednom gospodarstvu ovisi o broju kreveta u sobi, apartmanu ili kući za odmor i broju smještajnih jedinica u kampu i kamp-</w:t>
      </w: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lastRenderedPageBreak/>
        <w:t>odmorištu odnosno prema kapacitetu u objektu za robinzonski smještaj sukladno propisu kojim se uređuje obavljanje ugostiteljske djelatnosti i iznosi:</w:t>
      </w:r>
    </w:p>
    <w:tbl>
      <w:tblPr>
        <w:tblW w:w="8168" w:type="dxa"/>
        <w:tblCellMar>
          <w:left w:w="0" w:type="dxa"/>
          <w:right w:w="0" w:type="dxa"/>
        </w:tblCellMar>
        <w:tblLook w:val="04A0"/>
      </w:tblPr>
      <w:tblGrid>
        <w:gridCol w:w="1624"/>
        <w:gridCol w:w="3074"/>
        <w:gridCol w:w="3470"/>
      </w:tblGrid>
      <w:tr w:rsidR="00650E81" w:rsidRPr="00650E81" w:rsidTr="00650E8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0E81" w:rsidRPr="00650E81" w:rsidRDefault="00650E81" w:rsidP="00650E81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0E81" w:rsidRPr="00650E81" w:rsidRDefault="00650E81" w:rsidP="00650E81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650E81"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  <w:t>Smještaj u domaćinstvu</w:t>
            </w:r>
          </w:p>
          <w:p w:rsidR="00650E81" w:rsidRPr="00650E81" w:rsidRDefault="00650E81" w:rsidP="00650E81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650E81"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  <w:t>– po krevetu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0E81" w:rsidRPr="00650E81" w:rsidRDefault="00650E81" w:rsidP="00650E81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650E81"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  <w:t>Smještaj na obiteljskom poljoprivrednom gospodarstvu</w:t>
            </w:r>
          </w:p>
          <w:p w:rsidR="00650E81" w:rsidRPr="00650E81" w:rsidRDefault="00650E81" w:rsidP="00650E81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650E81"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  <w:t>– po krevetu</w:t>
            </w:r>
          </w:p>
        </w:tc>
      </w:tr>
      <w:tr w:rsidR="00650E81" w:rsidRPr="00650E81" w:rsidTr="00650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0E81" w:rsidRPr="00650E81" w:rsidRDefault="00650E81" w:rsidP="00650E81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650E81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Godišnji paušalni iznos članarine (u kunama)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0E81" w:rsidRPr="00650E81" w:rsidRDefault="00650E81" w:rsidP="00650E8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650E81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0E81" w:rsidRPr="00650E81" w:rsidRDefault="00650E81" w:rsidP="00650E8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650E81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30,00</w:t>
            </w:r>
          </w:p>
        </w:tc>
      </w:tr>
      <w:tr w:rsidR="00650E81" w:rsidRPr="00650E81" w:rsidTr="00650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0E81" w:rsidRPr="00650E81" w:rsidRDefault="00650E81" w:rsidP="00650E81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0E81" w:rsidRPr="00650E81" w:rsidRDefault="00650E81" w:rsidP="00650E8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650E81"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  <w:t>Smještaj u domaćinstvu u kampu i u objektu vrste kamp odmorište ili kamp odmorište – robinzonski smještaj</w:t>
            </w:r>
          </w:p>
          <w:p w:rsidR="00650E81" w:rsidRPr="00650E81" w:rsidRDefault="00650E81" w:rsidP="00650E8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650E81"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  <w:t>– za svaku smještajnu jedinicu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0E81" w:rsidRPr="00650E81" w:rsidRDefault="00650E81" w:rsidP="00650E8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650E81"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  <w:t>Smještaj na obiteljskom poljoprivrednom gospodarstvu u kampu i u objektu vrste kamp odmorite – robinzonski smještaj</w:t>
            </w:r>
          </w:p>
          <w:p w:rsidR="00650E81" w:rsidRPr="00650E81" w:rsidRDefault="00650E81" w:rsidP="00650E8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650E81"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  <w:t>– za svaku smještajnu jedinicu</w:t>
            </w:r>
          </w:p>
        </w:tc>
      </w:tr>
      <w:tr w:rsidR="00650E81" w:rsidRPr="00650E81" w:rsidTr="00650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0E81" w:rsidRPr="00650E81" w:rsidRDefault="00650E81" w:rsidP="00650E81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650E81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Godišnji paušalni iznos članarine (u kunama)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0E81" w:rsidRPr="00650E81" w:rsidRDefault="00650E81" w:rsidP="00650E8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650E81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0E81" w:rsidRPr="00650E81" w:rsidRDefault="00650E81" w:rsidP="00650E8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650E81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60,00</w:t>
            </w:r>
          </w:p>
        </w:tc>
      </w:tr>
    </w:tbl>
    <w:p w:rsidR="00650E81" w:rsidRPr="00650E81" w:rsidRDefault="00650E81" w:rsidP="00650E81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(2) Godišnji paušalni iznos članarine za osobe iz stavka 1. ovoga članka je umnožak najvećeg broja kreveta u sobi, apartmanu i kući za odmor odnosno najvećeg broja smještajnih jedinica u kampu i kamp-odmorištu odnosno kapaciteta u objektu za robinzonski smještaj u prethodnoj godini, koji su utvrđeni rješenjem o odobrenju za pružanje ugostiteljskih usluga u domaćinstvu ili na obiteljskom poljoprivrednom gospodarstvu i iznosa članarine za svaki krevet odnosno smještajnu jedinicu u kampu i kamp-odmorištu odnosno kapacitet u objektu za robinzonski smještaj.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(3) Kapacitet, odnosno broj gostiju u objektu vrste kamp odmorište i kamp odmorište – robinzonski smještaj, određuje se prema broju gostiju koji mogu sigurno u njemu boraviti, ali do najviše deset smještajnih jedinica, odnosno 30 gostiju istodobno, u koje se ne ubrajaju djeca do 12 godina starosti, a koji kapacitet je utvrđen rješenjem nadležnog ureda o odobrenju za pružanje ugostiteljskih usluga u domaćinstvu ili na obiteljskom poljoprivrednom gospodarstvu.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(4) Godišnji paušalni iznos članarine utvrđen sukladno stavku 1. i 2. ovoga članka za pomoćne ležajeve umanjuje se za 50%.</w:t>
      </w:r>
    </w:p>
    <w:p w:rsidR="00650E81" w:rsidRPr="00650E81" w:rsidRDefault="00650E81" w:rsidP="00650E8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8.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Godišnji paušalni iznos članarine iz članka 7. stavka 1. ovoga Pravilnika može se platiti jednokratno do 31. srpnja tekuće godine ili u tri jednaka obroka, s time da prvi obrok dospijeva 31. srpnja, drugi 31. kolovoza, a treći 30. rujna tekuće godine.</w:t>
      </w:r>
    </w:p>
    <w:p w:rsidR="00650E81" w:rsidRPr="00650E81" w:rsidRDefault="00650E81" w:rsidP="00650E8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VII. OBRAZAC TZ KOJI PODNOSE OSOBE KOJE PRUŽAJU UGOSTITELJSKE USLUGE U DOMAĆINSTVU ILI NA OBITELJSKOM POLJOPRIVREDNOM GOSPODARSTVU</w:t>
      </w:r>
    </w:p>
    <w:p w:rsidR="00650E81" w:rsidRPr="00650E81" w:rsidRDefault="00650E81" w:rsidP="00650E8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9.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(1) Osobe koje pružaju ugostiteljske usluge u domaćinstvu ili na obiteljskom poljoprivrednom gospodarstvu dostavljaju nadležnoj Poreznoj upravi posebni Obrazac TZ 2 koji je sastavni dio ovoga Pravilnika.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(2) Za potrebe kontrole ukupnog poslovanja, osobe iz stavka 1. ovoga članka, u obrascu iz stavka 1. ovoga članka, iskazuju podatak o ukupno ostvarenom prometu za prethodnu godinu.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(3) Osobe iz stavka 1. ovoga članka koje usluge pružaju na različitim mjestima (adresama) u okviru iste jedinice lokalne samouprave i/ili na mjestima u više jedinica lokalne samouprave, uz Obrazac TZ 2 podnose razradu po lokacijama u kojima pružaju usluge.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(4) Osoba iz članka 11. stavka 1. Zakona podnosi nadležnoj ispostavi Porezne uprave posebni Obrazac TZ 2 do 15. siječnja tekuće godine za prethodnu godinu u kojoj je u obvezi obračunati i uplatiti članarinu turističkoj zajednici.</w:t>
      </w:r>
    </w:p>
    <w:p w:rsidR="00650E81" w:rsidRPr="00650E81" w:rsidRDefault="00650E81" w:rsidP="00650E8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VIII. UNOŠENJE PODATAKA U OBRAZAC TZ 2</w:t>
      </w:r>
    </w:p>
    <w:p w:rsidR="00650E81" w:rsidRPr="00650E81" w:rsidRDefault="00650E81" w:rsidP="00650E8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10.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U Obrazac TZ 2 unose se svi podaci koji se obrascem traže, a to su: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1. Područni ured i ispostava Porezne uprave nadležna prema prebivalištu osobe – građanina ili u uobičajenom boravištu.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2. Opći podaci o obvezniku plaćanja članarine: OIB, ime i prezime osobe – građana, adresa prebivališta ili uobičajenog boravišta, šifra/naziv općine/grada prebivališta ili uobičajenog boravišta osobe – građana te podaci za obračun članarine turističkoj zajednici.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1. – 8.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Upisuje se broj kreveta (osnovnih i pomoćnih) u sobi, apartmanu ili kući za odmor i broj smještajnih jedinica u kampu i kamp-odmorištu odnosno kapacitet u objektu za robinzonski smještaj, sukladno propisu kojim se uređuje obavljanje ugostiteljske djelatnosti.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Iznos članarine iz stupca 4 određuje se sukladno članku 7. ovoga Pravilnika.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9.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Ukupno obračunani iznos dobije se zbrojem ukupnih iznosa rednog broja 1. – 8.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10. – 13.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Upisuje se umanjenje članarine za 20% ako se radi o osobi koja obavlja djelatnost na potpomognutom području.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Područja općina i gradova koja se smatraju potpomognutim područjima (I. – IV. razvojna skupina jedinice lokalne samouprave) određuju se sukladno Odluci Vlade Republike Hrvatske o razvrstavanju jedinica lokalne i područne (regionalne) samouprave prema stupnju razvijenosti.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14.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Upisuje se ukupno umanjenje na potpomognutim područjima ukoliko se usluge pružaju na jednoj ili više općina odnosno gradova koji se smatraju potpomognutim područjima.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15.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lastRenderedPageBreak/>
        <w:t xml:space="preserve">– Upisuje se obračunani iznos nakon umanjenja, </w:t>
      </w:r>
      <w:proofErr w:type="spellStart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tj</w:t>
      </w:r>
      <w:proofErr w:type="spellEnd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 od ukupno obračunanog iznosa (redni broj 9.) oduzme se ukupno umanjenje na potpomognutim područjima (redni broj 14.).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16.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– Označava se način plaćanja članarine na način da se potvrdi jednokratna uplata ili obročno plaćanje kod dostave obrasca putem </w:t>
      </w:r>
      <w:proofErr w:type="spellStart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ePorezna</w:t>
      </w:r>
      <w:proofErr w:type="spellEnd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odnosno zaokruži «DA” kod dostave putem nadležne ispostave Porezne uprave ako se radi o jednokratnoj uplati ili obročnom plaćanju iznosa iz rednoga broja 15.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– Ukoliko se radi o obročnom plaćanju obračunani iznos iz rednoga broja 15. dijeli se s brojem 3, </w:t>
      </w:r>
      <w:proofErr w:type="spellStart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tj</w:t>
      </w:r>
      <w:proofErr w:type="spellEnd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 brojem obroka.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Redni broj 17.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Upisuje se ukupni iznos primitka iz evidencije prometa (Obrazac EP) iz Pravilnika o paušalnom oporezivanju djelatnosti iznajmljivanja i organiziranja smještaja u turizmu (članak 13. stavak 4.).</w:t>
      </w:r>
    </w:p>
    <w:p w:rsidR="00650E81" w:rsidRPr="00650E81" w:rsidRDefault="00650E81" w:rsidP="00650E8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IX. PRIJELAZNE I ZAVRŠNE ODREDBE</w:t>
      </w:r>
    </w:p>
    <w:p w:rsidR="00650E81" w:rsidRPr="00650E81" w:rsidRDefault="00650E81" w:rsidP="00650E8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11.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(1) Danom stupanja na snagu ovoga Pravilnika, prestaje važiti Pravilnik o obliku i sadržaju obrasca za prijavu podataka o osnovici za obračun članarine turističkoj zajednici (»Narodne novine«, br. 119/09. i 18/17.).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(2) Stupanjem na snagu ovoga Pravilnika obveznici plaćanja članarine turističkoj zajednici, podnose obrasce TZ 1 i TZ 2 sukladno ovom Pravilniku.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(3) Razrada/analitika po poslovnim jedinicama odnosno djelatnostima iz članka 3. stavka 2. i članka 9. stavka 3. ovoga Pravilnika, sastavni je dio ovoga Pravilnika.</w:t>
      </w:r>
    </w:p>
    <w:p w:rsidR="00650E81" w:rsidRPr="00650E81" w:rsidRDefault="00650E81" w:rsidP="00650E8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12.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(1) Pravne i fizičke koje obavljaju gospodarsku djelatnost i čija obveza plaćanja članarine počinje tijekom godine, članarinu plaćaju u mjesečnim predujmovima, s time da se konačni obračun članarine za tu godinu obavlja u rokovima i na način propisan Zakonom o članarinama u turističkim zajednicama i ovim Pravilnikom.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(2) Godišnji paušalni iznos članarine za osobe koje pružaju ugostiteljske usluge u domaćinstvu ili na obiteljskom poljoprivrednom gospodarstvu koje su prvi put ishodile rješenje o odobrenju za pružanje ugostiteljskih usluga u domaćinstvu ili na obiteljskom poljoprivrednom gospodarstvu u 2020. godini je umnožak najvećeg broja kreveta u sobi, apartmanu ili kući za odmor, najvećeg broja smještajnih jedinica u kampu i kamp-odmorištu odnosno kapaciteta u objektu za robinzonski smještaj i iznosa članarine za svaki krevet, smještajnu jedinicu u kampu i kamp-odmorištu i kapacitet u objektu za robinzonski smještaj utvrđenih rješenjem o odobrenju za pružanje ugostiteljskih usluga u domaćinstvu ili na obiteljskom poljoprivrednom gospodarstvu.</w:t>
      </w:r>
    </w:p>
    <w:p w:rsidR="00650E81" w:rsidRPr="00650E81" w:rsidRDefault="00650E81" w:rsidP="00650E8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13.</w:t>
      </w:r>
    </w:p>
    <w:p w:rsidR="00650E81" w:rsidRPr="00650E81" w:rsidRDefault="00650E81" w:rsidP="00650E8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Ovaj Pravilnik stupa na snagu prvoga dana od dana objave u »Narodnim novinama«.</w:t>
      </w:r>
    </w:p>
    <w:p w:rsidR="00650E81" w:rsidRPr="00650E81" w:rsidRDefault="00650E81" w:rsidP="00650E8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Klasa: 011-02/19-01/19</w:t>
      </w:r>
    </w:p>
    <w:p w:rsidR="00650E81" w:rsidRPr="00650E81" w:rsidRDefault="00650E81" w:rsidP="00650E8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proofErr w:type="spellStart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Urbroj</w:t>
      </w:r>
      <w:proofErr w:type="spellEnd"/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: 529-05-01/1-19-4</w:t>
      </w:r>
    </w:p>
    <w:p w:rsidR="00650E81" w:rsidRPr="00650E81" w:rsidRDefault="00650E81" w:rsidP="00650E8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Zagreb, 20. prosinca 2019.</w:t>
      </w:r>
    </w:p>
    <w:p w:rsidR="00650E81" w:rsidRPr="00650E81" w:rsidRDefault="00650E81" w:rsidP="00650E81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Ministar</w:t>
      </w:r>
      <w:r w:rsidRPr="00650E81">
        <w:rPr>
          <w:rFonts w:ascii="Minion Pro" w:eastAsia="Times New Roman" w:hAnsi="Minion Pro" w:cs="Times New Roman"/>
          <w:color w:val="231F20"/>
          <w:sz w:val="16"/>
          <w:szCs w:val="16"/>
          <w:lang w:eastAsia="hr-HR"/>
        </w:rPr>
        <w:br/>
      </w:r>
      <w:r w:rsidRPr="00650E81">
        <w:rPr>
          <w:rFonts w:ascii="Minion Pro" w:eastAsia="Times New Roman" w:hAnsi="Minion Pro" w:cs="Times New Roman"/>
          <w:b/>
          <w:bCs/>
          <w:color w:val="231F20"/>
          <w:sz w:val="18"/>
          <w:lang w:eastAsia="hr-HR"/>
        </w:rPr>
        <w:t xml:space="preserve">Gari </w:t>
      </w:r>
      <w:proofErr w:type="spellStart"/>
      <w:r w:rsidRPr="00650E81">
        <w:rPr>
          <w:rFonts w:ascii="Minion Pro" w:eastAsia="Times New Roman" w:hAnsi="Minion Pro" w:cs="Times New Roman"/>
          <w:b/>
          <w:bCs/>
          <w:color w:val="231F20"/>
          <w:sz w:val="18"/>
          <w:lang w:eastAsia="hr-HR"/>
        </w:rPr>
        <w:t>Cappelli</w:t>
      </w:r>
      <w:proofErr w:type="spellEnd"/>
      <w:r w:rsidRPr="00650E81">
        <w:rPr>
          <w:rFonts w:ascii="Minion Pro" w:eastAsia="Times New Roman" w:hAnsi="Minion Pro" w:cs="Times New Roman"/>
          <w:b/>
          <w:bCs/>
          <w:color w:val="231F20"/>
          <w:sz w:val="18"/>
          <w:lang w:eastAsia="hr-HR"/>
        </w:rPr>
        <w:t>, </w:t>
      </w:r>
      <w:r w:rsidRPr="00650E81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v. r.</w:t>
      </w:r>
    </w:p>
    <w:p w:rsidR="00650E81" w:rsidRPr="00650E81" w:rsidRDefault="00650E81" w:rsidP="00650E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0"/>
          <w:szCs w:val="20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7030085" cy="7812405"/>
            <wp:effectExtent l="19050" t="0" r="0" b="0"/>
            <wp:docPr id="1" name="Slika 1" descr="https://narodne-novine.nn.hr/files/_web/sluzbeni-dio/2020/130567/images/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20/130567/images/3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85" cy="781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81" w:rsidRPr="00650E81" w:rsidRDefault="00650E81" w:rsidP="00650E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0"/>
          <w:szCs w:val="20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5588635" cy="8412480"/>
            <wp:effectExtent l="19050" t="0" r="0" b="0"/>
            <wp:docPr id="2" name="Slika 2" descr="https://narodne-novine.nn.hr/files/_web/sluzbeni-dio/2020/130567/images/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files/_web/sluzbeni-dio/2020/130567/images/3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84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81" w:rsidRPr="00650E81" w:rsidRDefault="00650E81" w:rsidP="00650E81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650E81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t>* područna jedinica lokalne samouprave razvrstanih po stupnju razvijenosti prema posebnom propisu o regionalnom razvoju Republike Hrvatske</w:t>
      </w:r>
    </w:p>
    <w:p w:rsidR="00650E81" w:rsidRPr="00650E81" w:rsidRDefault="00650E81" w:rsidP="00650E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0"/>
          <w:szCs w:val="20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14154785" cy="5039995"/>
            <wp:effectExtent l="19050" t="0" r="0" b="0"/>
            <wp:docPr id="3" name="Slika 3" descr="https://narodne-novine.nn.hr/files/_web/sluzbeni-dio/2020/130567/images/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files/_web/sluzbeni-dio/2020/130567/images/3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785" cy="503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59" w:rsidRDefault="00650E81"/>
    <w:sectPr w:rsidR="00A86F59" w:rsidSect="0099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50E81"/>
    <w:rsid w:val="00575600"/>
    <w:rsid w:val="00650E81"/>
    <w:rsid w:val="009948DD"/>
    <w:rsid w:val="00D64D2D"/>
    <w:rsid w:val="00E54BE2"/>
    <w:rsid w:val="00FB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DD"/>
  </w:style>
  <w:style w:type="paragraph" w:styleId="Naslov3">
    <w:name w:val="heading 3"/>
    <w:basedOn w:val="Normal"/>
    <w:link w:val="Naslov3Char"/>
    <w:uiPriority w:val="9"/>
    <w:qFormat/>
    <w:rsid w:val="00650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50E8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2556">
    <w:name w:val="box_462556"/>
    <w:basedOn w:val="Normal"/>
    <w:rsid w:val="0065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rsid w:val="0065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50E81"/>
  </w:style>
  <w:style w:type="paragraph" w:styleId="Tekstbalonia">
    <w:name w:val="Balloon Text"/>
    <w:basedOn w:val="Normal"/>
    <w:link w:val="TekstbaloniaChar"/>
    <w:uiPriority w:val="99"/>
    <w:semiHidden/>
    <w:unhideWhenUsed/>
    <w:rsid w:val="0065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2595</Words>
  <Characters>14794</Characters>
  <Application>Microsoft Office Word</Application>
  <DocSecurity>0</DocSecurity>
  <Lines>123</Lines>
  <Paragraphs>34</Paragraphs>
  <ScaleCrop>false</ScaleCrop>
  <Company/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2020-03-12T09:32:00Z</dcterms:created>
  <dcterms:modified xsi:type="dcterms:W3CDTF">2020-03-12T09:33:00Z</dcterms:modified>
</cp:coreProperties>
</file>